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791AB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90586D">
        <w:trPr>
          <w:trHeight w:val="1478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C77554" w:rsidRDefault="00C77554" w:rsidP="00C77554">
            <w:pPr>
              <w:spacing w:before="40" w:after="40" w:line="240" w:lineRule="auto"/>
              <w:jc w:val="both"/>
            </w:pPr>
            <w:r w:rsidRPr="00137ABF"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137ABF">
              <w:t>leku Valcyte (walgancyklowir) w</w:t>
            </w:r>
            <w:r>
              <w:t xml:space="preserve">e wskazaniu </w:t>
            </w:r>
            <w:r w:rsidRPr="00137ABF">
              <w:t xml:space="preserve">zakażenia </w:t>
            </w:r>
            <w:bookmarkEnd w:id="0"/>
            <w:bookmarkEnd w:id="1"/>
            <w:r w:rsidRPr="00137ABF">
              <w:t xml:space="preserve">wirusem cytomegalii u pacjentów poddawanych przeszczepom: </w:t>
            </w:r>
          </w:p>
          <w:p w:rsidR="00C77554" w:rsidRDefault="00C77554" w:rsidP="00C77554">
            <w:pPr>
              <w:spacing w:before="40" w:after="40" w:line="240" w:lineRule="auto"/>
              <w:jc w:val="both"/>
            </w:pPr>
            <w:r>
              <w:t xml:space="preserve">1) </w:t>
            </w:r>
            <w:r w:rsidRPr="00137ABF">
              <w:t>narządów miąższowych – profilaktyka po zakończeniu hospitalizacji związan</w:t>
            </w:r>
            <w:r>
              <w:t>ej</w:t>
            </w:r>
            <w:r w:rsidRPr="00137ABF">
              <w:t xml:space="preserve"> </w:t>
            </w:r>
            <w:r>
              <w:br/>
            </w:r>
            <w:r w:rsidRPr="00137ABF">
              <w:t>z transplantacją do 100 dni po przeszczepie;</w:t>
            </w:r>
            <w:r>
              <w:t xml:space="preserve"> </w:t>
            </w:r>
          </w:p>
          <w:p w:rsidR="00A82C21" w:rsidRPr="00976816" w:rsidRDefault="00C77554" w:rsidP="00C77554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2)</w:t>
            </w:r>
            <w:r w:rsidRPr="00137ABF">
              <w:t xml:space="preserve"> nerek – profilaktyka po zakończeniu hospitalizacji związan</w:t>
            </w:r>
            <w:r>
              <w:t>ej</w:t>
            </w:r>
            <w:r w:rsidRPr="00137ABF">
              <w:t xml:space="preserve"> z transplantacją do 200 dni po przeszczepie.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2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3" w:name="_GoBack"/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  <w:bookmarkEnd w:id="3"/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2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</w:t>
      </w:r>
      <w:proofErr w:type="spellStart"/>
      <w:r>
        <w:t>pkt</w:t>
      </w:r>
      <w:proofErr w:type="spellEnd"/>
      <w:r>
        <w:t xml:space="preserve"> 14) lit. c oraz art. 26 </w:t>
      </w:r>
      <w:proofErr w:type="spellStart"/>
      <w:r>
        <w:t>pkt</w:t>
      </w:r>
      <w:proofErr w:type="spellEnd"/>
      <w:r>
        <w:t xml:space="preserve">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A2D55"/>
    <w:rsid w:val="00224BF1"/>
    <w:rsid w:val="00515881"/>
    <w:rsid w:val="00532B83"/>
    <w:rsid w:val="006418B6"/>
    <w:rsid w:val="00791AB0"/>
    <w:rsid w:val="007B3012"/>
    <w:rsid w:val="0090586D"/>
    <w:rsid w:val="00953DA2"/>
    <w:rsid w:val="00976816"/>
    <w:rsid w:val="00A82C21"/>
    <w:rsid w:val="00AD501D"/>
    <w:rsid w:val="00B75F03"/>
    <w:rsid w:val="00C7010D"/>
    <w:rsid w:val="00C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p.krakowian</cp:lastModifiedBy>
  <cp:revision>15</cp:revision>
  <dcterms:created xsi:type="dcterms:W3CDTF">2015-01-08T11:35:00Z</dcterms:created>
  <dcterms:modified xsi:type="dcterms:W3CDTF">2015-04-10T08:03:00Z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