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32709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5A4C85" w:rsidRPr="00852AD7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85118E">
              <w:rPr>
                <w:rFonts w:ascii="Arial" w:eastAsia="Times New Roman" w:hAnsi="Arial" w:cs="Arial"/>
                <w:lang w:eastAsia="ar-SA"/>
              </w:rPr>
              <w:t>2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2.2016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545C07" w:rsidP="0085118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Wnioski</w:t>
            </w:r>
            <w:bookmarkStart w:id="0" w:name="_GoBack"/>
            <w:bookmarkEnd w:id="0"/>
            <w:r w:rsidR="0085118E" w:rsidRPr="0085118E">
              <w:rPr>
                <w:rFonts w:ascii="Arial" w:hAnsi="Arial" w:cs="Arial"/>
              </w:rPr>
              <w:t xml:space="preserve"> o objęcie refundacją i ustalenie urzędowej ceny zbytu leków Jakavi (ruksolitynib) w ramach programu lekowego: „Leczenie mielofibrozy pierwotnej oraz mielofibrozy wtórnej w przebiegu czerwienicy prawdziwej i nadpłytkowości samoistnej, ICD-10 D47.4”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9" o:title=""/>
          </v:shape>
          <w:control r:id="rId30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45C07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Zaremba</cp:lastModifiedBy>
  <cp:revision>31</cp:revision>
  <dcterms:created xsi:type="dcterms:W3CDTF">2015-01-08T11:35:00Z</dcterms:created>
  <dcterms:modified xsi:type="dcterms:W3CDTF">2016-07-22T12:00:00Z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