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2537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CF70E4">
              <w:rPr>
                <w:rFonts w:ascii="Arial" w:eastAsia="Times New Roman" w:hAnsi="Arial" w:cs="Arial"/>
                <w:lang w:eastAsia="ar-SA"/>
              </w:rPr>
              <w:t>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CF70E4">
              <w:rPr>
                <w:rFonts w:ascii="Arial" w:eastAsia="Times New Roman" w:hAnsi="Arial" w:cs="Arial"/>
                <w:lang w:eastAsia="ar-SA"/>
              </w:rPr>
              <w:t>1</w:t>
            </w:r>
            <w:r w:rsidR="00F92905">
              <w:rPr>
                <w:rFonts w:ascii="Arial" w:eastAsia="Times New Roman" w:hAnsi="Arial" w:cs="Arial"/>
                <w:lang w:eastAsia="ar-SA"/>
              </w:rPr>
              <w:t>4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2F1CA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CF70E4">
              <w:rPr>
                <w:rFonts w:ascii="Arial" w:hAnsi="Arial" w:cs="Arial"/>
              </w:rPr>
              <w:t>Vipidia</w:t>
            </w:r>
            <w:proofErr w:type="spellEnd"/>
            <w:r w:rsidR="004D7554" w:rsidRPr="004D7554">
              <w:rPr>
                <w:rFonts w:ascii="Arial" w:hAnsi="Arial" w:cs="Arial"/>
              </w:rPr>
              <w:t xml:space="preserve"> (</w:t>
            </w:r>
            <w:proofErr w:type="spellStart"/>
            <w:r w:rsidR="00CF70E4">
              <w:rPr>
                <w:rFonts w:ascii="Arial" w:hAnsi="Arial" w:cs="Arial"/>
              </w:rPr>
              <w:t>alogliptyna</w:t>
            </w:r>
            <w:proofErr w:type="spellEnd"/>
            <w:r w:rsidR="004D7554" w:rsidRPr="004D7554">
              <w:rPr>
                <w:rFonts w:ascii="Arial" w:hAnsi="Arial" w:cs="Arial"/>
              </w:rPr>
              <w:t>)</w:t>
            </w:r>
            <w:r w:rsidR="00A2537A">
              <w:rPr>
                <w:rFonts w:ascii="Arial" w:hAnsi="Arial" w:cs="Arial"/>
              </w:rPr>
              <w:t xml:space="preserve"> we wskazaniu:</w:t>
            </w:r>
            <w:r w:rsidR="00A2537A" w:rsidRPr="002F1CA1">
              <w:rPr>
                <w:rFonts w:ascii="Arial" w:hAnsi="Arial" w:cs="Arial"/>
              </w:rPr>
              <w:t xml:space="preserve"> </w:t>
            </w:r>
            <w:r w:rsidR="001672E8" w:rsidRPr="001672E8">
              <w:rPr>
                <w:rFonts w:ascii="Arial" w:hAnsi="Arial" w:cs="Arial"/>
              </w:rPr>
              <w:t>leczenie dorosłych pacjentów z</w:t>
            </w:r>
            <w:r w:rsidR="001672E8">
              <w:rPr>
                <w:rFonts w:ascii="Arial" w:hAnsi="Arial" w:cs="Arial"/>
              </w:rPr>
              <w:t> </w:t>
            </w:r>
            <w:r w:rsidR="001672E8" w:rsidRPr="001672E8">
              <w:rPr>
                <w:rFonts w:ascii="Arial" w:hAnsi="Arial" w:cs="Arial"/>
              </w:rPr>
              <w:t>cukrzycą typu 2 w skojarzeniu z innymi produktami leczniczymi obniżającymi stężenie glukozy (</w:t>
            </w:r>
            <w:proofErr w:type="spellStart"/>
            <w:r w:rsidR="001672E8" w:rsidRPr="001672E8">
              <w:rPr>
                <w:rFonts w:ascii="Arial" w:hAnsi="Arial" w:cs="Arial"/>
              </w:rPr>
              <w:t>metforminą</w:t>
            </w:r>
            <w:proofErr w:type="spellEnd"/>
            <w:r w:rsidR="001672E8" w:rsidRPr="001672E8">
              <w:rPr>
                <w:rFonts w:ascii="Arial" w:hAnsi="Arial" w:cs="Arial"/>
              </w:rPr>
              <w:t xml:space="preserve"> lub pochodną </w:t>
            </w:r>
            <w:proofErr w:type="spellStart"/>
            <w:r w:rsidR="001672E8" w:rsidRPr="001672E8">
              <w:rPr>
                <w:rFonts w:ascii="Arial" w:hAnsi="Arial" w:cs="Arial"/>
              </w:rPr>
              <w:t>sulfonylomocznika</w:t>
            </w:r>
            <w:proofErr w:type="spellEnd"/>
            <w:r w:rsidR="001672E8" w:rsidRPr="001672E8">
              <w:rPr>
                <w:rFonts w:ascii="Arial" w:hAnsi="Arial" w:cs="Arial"/>
              </w:rPr>
              <w:t>), jeśli produkty te w</w:t>
            </w:r>
            <w:r w:rsidR="0032351F">
              <w:rPr>
                <w:rFonts w:ascii="Arial" w:hAnsi="Arial" w:cs="Arial"/>
              </w:rPr>
              <w:t> </w:t>
            </w:r>
            <w:bookmarkStart w:id="0" w:name="_GoBack"/>
            <w:bookmarkEnd w:id="0"/>
            <w:proofErr w:type="spellStart"/>
            <w:r w:rsidR="001672E8" w:rsidRPr="001672E8">
              <w:rPr>
                <w:rFonts w:ascii="Arial" w:hAnsi="Arial" w:cs="Arial"/>
              </w:rPr>
              <w:t>monoterapii</w:t>
            </w:r>
            <w:proofErr w:type="spellEnd"/>
            <w:r w:rsidR="001672E8" w:rsidRPr="001672E8">
              <w:rPr>
                <w:rFonts w:ascii="Arial" w:hAnsi="Arial" w:cs="Arial"/>
              </w:rPr>
              <w:t xml:space="preserve"> wraz z dietą i wysiłkiem fizycznym nie zapewniają dostatecznej kontroli glikemii, a stosowanie ich w skojarzeniu jest przeciwwskazane.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ul.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3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3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…….</w:t>
            </w:r>
            <w:proofErr w:type="gramEnd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3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3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3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3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3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3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3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0F3606"/>
    <w:rsid w:val="001672E8"/>
    <w:rsid w:val="001E04A0"/>
    <w:rsid w:val="00215C20"/>
    <w:rsid w:val="00224BF1"/>
    <w:rsid w:val="002C0A6F"/>
    <w:rsid w:val="002D774E"/>
    <w:rsid w:val="002E0C64"/>
    <w:rsid w:val="002F1CA1"/>
    <w:rsid w:val="0032351F"/>
    <w:rsid w:val="00327099"/>
    <w:rsid w:val="00377FBE"/>
    <w:rsid w:val="004A58C8"/>
    <w:rsid w:val="004D7554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75F03"/>
    <w:rsid w:val="00BB1AA7"/>
    <w:rsid w:val="00BB1AB4"/>
    <w:rsid w:val="00C145AC"/>
    <w:rsid w:val="00C7010D"/>
    <w:rsid w:val="00C77554"/>
    <w:rsid w:val="00CF70E4"/>
    <w:rsid w:val="00D63896"/>
    <w:rsid w:val="00F064B2"/>
    <w:rsid w:val="00F116A7"/>
    <w:rsid w:val="00F92905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4AC0755"/>
  <w15:docId w15:val="{E7728409-D742-4DC2-B770-1CF461B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10</cp:revision>
  <dcterms:created xsi:type="dcterms:W3CDTF">2017-04-21T09:27:00Z</dcterms:created>
  <dcterms:modified xsi:type="dcterms:W3CDTF">2017-10-05T11:43:00Z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