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5E58D57" w:rsidR="000B57EF" w:rsidRPr="0068177F" w:rsidRDefault="004727E8" w:rsidP="002160C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AA72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167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0926A56" w:rsidR="000B57EF" w:rsidRPr="00D82A2C" w:rsidRDefault="00516764" w:rsidP="009A20FB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67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 Revlimid (lenalidomid)</w:t>
            </w:r>
            <w:r w:rsidR="007A0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Pr="005167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 w ramach programu lekowego „Lenalidomid w leczeniu dorosłych chorych z nieleczonym uprzednio szpiczakiem plazmocytowym (ICD10 C90.0)”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="005D0A82" w:rsidRPr="005D0A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zlecenie nr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246</w:t>
            </w:r>
            <w:r w:rsidR="005D0A82" w:rsidRPr="005D0A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/2020 w BIP Agencji</w:t>
            </w:r>
            <w:r w:rsidR="00A2403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9605ABB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>a adres poczty elektronicznej:</w:t>
      </w:r>
      <w:r w:rsidR="000553B1" w:rsidRPr="00D545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782F0009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2160C0">
        <w:rPr>
          <w:rStyle w:val="Hipercze"/>
          <w:rFonts w:ascii="Arial" w:hAnsi="Arial" w:cs="Arial"/>
          <w:bCs/>
          <w:i/>
          <w:color w:val="auto"/>
          <w:sz w:val="20"/>
          <w:u w:val="none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4CCC0271" w:rsidR="002A33D2" w:rsidRPr="002209E7" w:rsidRDefault="002160C0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2160C0">
        <w:rPr>
          <w:rStyle w:val="NAGZnak"/>
          <w:b w:val="0"/>
          <w:kern w:val="32"/>
          <w:sz w:val="20"/>
          <w:szCs w:val="20"/>
        </w:rPr>
        <w:t xml:space="preserve">produktu leczniczego </w:t>
      </w:r>
      <w:r w:rsidR="009A20FB" w:rsidRPr="009A20FB">
        <w:rPr>
          <w:rStyle w:val="NAGZnak"/>
          <w:b w:val="0"/>
          <w:kern w:val="32"/>
          <w:sz w:val="20"/>
          <w:szCs w:val="20"/>
        </w:rPr>
        <w:t>Revlimid (lenalidomid)</w:t>
      </w:r>
      <w:r w:rsidR="006C2988" w:rsidRPr="006C2988">
        <w:rPr>
          <w:rStyle w:val="NAGZnak"/>
          <w:b w:val="0"/>
          <w:kern w:val="32"/>
          <w:sz w:val="20"/>
          <w:szCs w:val="20"/>
        </w:rPr>
        <w:t xml:space="preserve"> we wskazaniu: </w:t>
      </w:r>
      <w:r w:rsidR="009A20FB" w:rsidRPr="009A20FB">
        <w:rPr>
          <w:rStyle w:val="NAGZnak"/>
          <w:b w:val="0"/>
          <w:kern w:val="32"/>
          <w:sz w:val="20"/>
          <w:szCs w:val="20"/>
        </w:rPr>
        <w:t>w ramach programu lekowego „Lenalidomid w leczeniu dorosłych chorych z nieleczonym uprzednio szpiczakiem plazmocytowym (ICD10 C90.0)”.</w:t>
      </w:r>
    </w:p>
    <w:p w14:paraId="70D7E2AB" w14:textId="77777777" w:rsidR="005E0437" w:rsidRDefault="005E0437" w:rsidP="00D54505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63AEBCA1" w:rsidR="000B57EF" w:rsidRDefault="005E0437" w:rsidP="00D545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7E1FD" w14:textId="77777777" w:rsidR="006E4C3B" w:rsidRDefault="006E4C3B" w:rsidP="005E0437">
      <w:pPr>
        <w:spacing w:after="0" w:line="240" w:lineRule="auto"/>
      </w:pPr>
      <w:r>
        <w:separator/>
      </w:r>
    </w:p>
  </w:endnote>
  <w:endnote w:type="continuationSeparator" w:id="0">
    <w:p w14:paraId="77FE60EF" w14:textId="77777777" w:rsidR="006E4C3B" w:rsidRDefault="006E4C3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B999" w14:textId="77777777" w:rsidR="006E4C3B" w:rsidRDefault="006E4C3B" w:rsidP="005E0437">
      <w:pPr>
        <w:spacing w:after="0" w:line="240" w:lineRule="auto"/>
      </w:pPr>
      <w:r>
        <w:separator/>
      </w:r>
    </w:p>
  </w:footnote>
  <w:footnote w:type="continuationSeparator" w:id="0">
    <w:p w14:paraId="17DE3C0A" w14:textId="77777777" w:rsidR="006E4C3B" w:rsidRDefault="006E4C3B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160C0"/>
    <w:rsid w:val="002209E7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4E65F5"/>
    <w:rsid w:val="00516764"/>
    <w:rsid w:val="00534919"/>
    <w:rsid w:val="005D0A82"/>
    <w:rsid w:val="005E0437"/>
    <w:rsid w:val="0062772D"/>
    <w:rsid w:val="006655D6"/>
    <w:rsid w:val="006C2988"/>
    <w:rsid w:val="006C7F97"/>
    <w:rsid w:val="006E4C3B"/>
    <w:rsid w:val="006F4BCF"/>
    <w:rsid w:val="007823FD"/>
    <w:rsid w:val="007A06DB"/>
    <w:rsid w:val="007C5D20"/>
    <w:rsid w:val="007D6E92"/>
    <w:rsid w:val="008A5DF2"/>
    <w:rsid w:val="008B57D8"/>
    <w:rsid w:val="008E2223"/>
    <w:rsid w:val="008F61E9"/>
    <w:rsid w:val="009556C6"/>
    <w:rsid w:val="00975736"/>
    <w:rsid w:val="009A20FB"/>
    <w:rsid w:val="009A6875"/>
    <w:rsid w:val="009A6CFD"/>
    <w:rsid w:val="00A2403D"/>
    <w:rsid w:val="00A302E6"/>
    <w:rsid w:val="00AA723B"/>
    <w:rsid w:val="00AC2A25"/>
    <w:rsid w:val="00B476FB"/>
    <w:rsid w:val="00B85D35"/>
    <w:rsid w:val="00C07EA1"/>
    <w:rsid w:val="00C70D09"/>
    <w:rsid w:val="00C85811"/>
    <w:rsid w:val="00D54505"/>
    <w:rsid w:val="00D82A2C"/>
    <w:rsid w:val="00E134C5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Agnieszka Łysakowska</cp:lastModifiedBy>
  <cp:revision>12</cp:revision>
  <dcterms:created xsi:type="dcterms:W3CDTF">2020-07-03T14:55:00Z</dcterms:created>
  <dcterms:modified xsi:type="dcterms:W3CDTF">2020-12-04T06:25:00Z</dcterms:modified>
</cp:coreProperties>
</file>