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7359F3E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C02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F68B9B2" w:rsidR="000B57EF" w:rsidRPr="00D82A2C" w:rsidRDefault="00C023BC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2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Sylvant (siltuksymab) w ramach programu lekowego "Leczenie idiopatycznej wieloogniskowej choroby Castlemana (ICD-10 D47.Z2)"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4F2F8CC7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C023BC" w:rsidRPr="00C023BC">
        <w:rPr>
          <w:rStyle w:val="NAGZnak"/>
          <w:b w:val="0"/>
          <w:kern w:val="32"/>
          <w:sz w:val="20"/>
          <w:szCs w:val="20"/>
        </w:rPr>
        <w:t>Sylvant (siltuksymab) w ramach programu lekowego "Leczenie idiopatycznej wieloogniskowej choroby Castlemana (ICD-10 D47.Z2)"</w:t>
      </w:r>
      <w:r w:rsidR="00C023BC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03DBB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B9591A"/>
    <w:rsid w:val="00C023BC"/>
    <w:rsid w:val="00C07EA1"/>
    <w:rsid w:val="00C70D09"/>
    <w:rsid w:val="00C85811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Trochimowicz</cp:lastModifiedBy>
  <cp:revision>10</cp:revision>
  <dcterms:created xsi:type="dcterms:W3CDTF">2020-09-18T07:24:00Z</dcterms:created>
  <dcterms:modified xsi:type="dcterms:W3CDTF">2021-08-04T12:04:00Z</dcterms:modified>
</cp:coreProperties>
</file>