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7FAEA09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95E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D59BBE8" w:rsidR="000B57EF" w:rsidRPr="00D82A2C" w:rsidRDefault="00A95E9D" w:rsidP="00C17F5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95E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Venclyxto (wenetoklaks) w skojarzeniu z </w:t>
            </w:r>
            <w:r w:rsidRPr="00A95E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azacytydyną</w:t>
            </w:r>
            <w:r w:rsidRPr="00A95E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ostrej białaczki szpikowej (ICD-10 C92.0)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03328A4F" w:rsidR="00E35889" w:rsidRDefault="00A95E9D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A95E9D">
        <w:rPr>
          <w:rStyle w:val="NAGZnak"/>
          <w:b w:val="0"/>
          <w:kern w:val="32"/>
          <w:sz w:val="20"/>
          <w:szCs w:val="20"/>
        </w:rPr>
        <w:t xml:space="preserve">Venclyxto (wenetoklaks) w skojarzeniu z </w:t>
      </w:r>
      <w:r w:rsidRPr="00A95E9D">
        <w:rPr>
          <w:rStyle w:val="NAGZnak"/>
          <w:b w:val="0"/>
          <w:kern w:val="32"/>
          <w:sz w:val="20"/>
          <w:szCs w:val="20"/>
        </w:rPr>
        <w:t>azacytydyną</w:t>
      </w:r>
      <w:r w:rsidRPr="00A95E9D">
        <w:rPr>
          <w:rStyle w:val="NAGZnak"/>
          <w:b w:val="0"/>
          <w:kern w:val="32"/>
          <w:sz w:val="20"/>
          <w:szCs w:val="20"/>
        </w:rPr>
        <w:t xml:space="preserve"> w leczeniu ostrej białaczki szpikowej (ICD-10 C92.0)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A5DF2"/>
    <w:rsid w:val="008B3D9B"/>
    <w:rsid w:val="008B57D8"/>
    <w:rsid w:val="009556C6"/>
    <w:rsid w:val="00975736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</cp:revision>
  <dcterms:created xsi:type="dcterms:W3CDTF">2022-01-19T16:01:00Z</dcterms:created>
  <dcterms:modified xsi:type="dcterms:W3CDTF">2022-01-19T16:01:00Z</dcterms:modified>
</cp:coreProperties>
</file>