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5DF1B09" w:rsidR="000B57EF" w:rsidRPr="0068177F" w:rsidRDefault="006C254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</w:t>
            </w: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CC4E28C" w:rsidR="000B57EF" w:rsidRPr="00D82A2C" w:rsidRDefault="00995AA8" w:rsidP="00F0082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proofErr w:type="spellStart"/>
            <w:r w:rsidR="00631DA4" w:rsidRP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Sarclisa</w:t>
            </w:r>
            <w:proofErr w:type="spellEnd"/>
            <w:r w:rsidR="00631DA4" w:rsidRP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631DA4" w:rsidRP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izatuksymab</w:t>
            </w:r>
            <w:proofErr w:type="spellEnd"/>
            <w:r w:rsidR="00631DA4" w:rsidRP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6C2544"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 wynikającym ze złożonego wniosku i uzgodnionej treści programu lekowego: </w:t>
            </w:r>
            <w:r w:rsidR="00631DA4" w:rsidRP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chorych na szpiczaka plazmocytowego (ICD 10: C90.0)”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DA3EC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2B20C198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522D4">
        <w:rPr>
          <w:rFonts w:ascii="Arial" w:eastAsia="Times New Roman" w:hAnsi="Arial" w:cs="Arial"/>
          <w:sz w:val="20"/>
          <w:szCs w:val="20"/>
          <w:lang w:eastAsia="ar-SA"/>
        </w:rPr>
        <w:t>Tomasz Wróbel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53B73464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2E1A340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3BB76C4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515FC2A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5pt" o:ole="">
            <v:imagedata r:id="rId12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F37E1E3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09AB5B39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05C19014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1B7F3E9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10AD9AB6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3A64A5CF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F50630" w14:paraId="153909D5" w14:textId="77777777" w:rsidTr="00452260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F50630" w:rsidRDefault="00F50630" w:rsidP="00F5063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5A7" w14:textId="3A213A77" w:rsidR="00F50630" w:rsidRDefault="00F50630" w:rsidP="00F50630">
            <w:pPr>
              <w:pStyle w:val="TableParagraph"/>
              <w:spacing w:before="57" w:line="276" w:lineRule="auto"/>
              <w:ind w:left="57" w:right="76"/>
            </w:pPr>
            <w:r>
              <w:t xml:space="preserve">Pomimo istotnego postępu w diagnostyce i leczeniu szpiczaka </w:t>
            </w:r>
            <w:proofErr w:type="spellStart"/>
            <w:r>
              <w:t>plazmocytowego</w:t>
            </w:r>
            <w:proofErr w:type="spellEnd"/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ostatnich</w:t>
            </w:r>
            <w:r>
              <w:rPr>
                <w:spacing w:val="-5"/>
              </w:rPr>
              <w:t xml:space="preserve"> </w:t>
            </w:r>
            <w:r>
              <w:t>latach,</w:t>
            </w:r>
            <w:r>
              <w:rPr>
                <w:spacing w:val="-5"/>
              </w:rPr>
              <w:t xml:space="preserve"> </w:t>
            </w:r>
            <w:r>
              <w:t>rokowanie</w:t>
            </w:r>
            <w:r>
              <w:rPr>
                <w:spacing w:val="-5"/>
              </w:rPr>
              <w:t xml:space="preserve"> </w:t>
            </w:r>
            <w:r>
              <w:t>pacjentów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choroba</w:t>
            </w:r>
            <w:r>
              <w:rPr>
                <w:spacing w:val="-5"/>
              </w:rPr>
              <w:t xml:space="preserve"> </w:t>
            </w:r>
            <w:r>
              <w:t xml:space="preserve">oporną i nawrotową pozostaje </w:t>
            </w:r>
            <w:r w:rsidR="009342B0">
              <w:t xml:space="preserve">wciąż </w:t>
            </w:r>
            <w:r>
              <w:t>złe.</w:t>
            </w:r>
            <w:r w:rsidR="00B522D4">
              <w:t xml:space="preserve"> Szczególnie trudną do leczenia jest grupa chorych opornych na </w:t>
            </w:r>
            <w:proofErr w:type="spellStart"/>
            <w:r w:rsidR="00B522D4">
              <w:t>lenalidomid</w:t>
            </w:r>
            <w:proofErr w:type="spellEnd"/>
            <w:r w:rsidR="00B522D4">
              <w:t xml:space="preserve"> i/lub inhibitory </w:t>
            </w:r>
            <w:proofErr w:type="spellStart"/>
            <w:r w:rsidR="00B522D4">
              <w:t>proteasomu</w:t>
            </w:r>
            <w:proofErr w:type="spellEnd"/>
            <w:r w:rsidR="00B522D4">
              <w:t xml:space="preserve">. </w:t>
            </w:r>
            <w:r>
              <w:t xml:space="preserve"> W tym kontekście </w:t>
            </w:r>
            <w:r w:rsidR="00B522D4">
              <w:t>ważne</w:t>
            </w:r>
            <w:r>
              <w:t xml:space="preserve"> jest zapewnienie dostępności do nowoczesnych terapii </w:t>
            </w:r>
            <w:r w:rsidR="00B522D4">
              <w:t xml:space="preserve">trójlekowych uwzględniających nowe przeciwciało antyCD38 </w:t>
            </w:r>
            <w:r>
              <w:t>dla pacjentów opornych</w:t>
            </w:r>
            <w:r>
              <w:rPr>
                <w:spacing w:val="40"/>
              </w:rPr>
              <w:t xml:space="preserve"> </w:t>
            </w:r>
            <w:r>
              <w:t>i nawrotowyc</w:t>
            </w:r>
            <w:r w:rsidR="00B522D4">
              <w:t>h</w:t>
            </w:r>
            <w:r>
              <w:t>.</w:t>
            </w:r>
          </w:p>
          <w:p w14:paraId="78462031" w14:textId="77777777" w:rsidR="00F50630" w:rsidRDefault="00F50630" w:rsidP="00F50630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54DE0A0" w14:textId="66E0195E" w:rsidR="00F50630" w:rsidRDefault="00F50630" w:rsidP="00F50630">
            <w:pPr>
              <w:pStyle w:val="TableParagraph"/>
              <w:spacing w:line="276" w:lineRule="auto"/>
              <w:ind w:left="57" w:right="114"/>
            </w:pPr>
            <w:r>
              <w:t xml:space="preserve">Terapia </w:t>
            </w:r>
            <w:proofErr w:type="spellStart"/>
            <w:r>
              <w:t>izatuksymabem</w:t>
            </w:r>
            <w:proofErr w:type="spellEnd"/>
            <w:r>
              <w:t xml:space="preserve"> w skojarzeniu z </w:t>
            </w:r>
            <w:proofErr w:type="spellStart"/>
            <w:r>
              <w:t>pomalidomidem</w:t>
            </w:r>
            <w:proofErr w:type="spellEnd"/>
            <w:r>
              <w:t xml:space="preserve"> i </w:t>
            </w:r>
            <w:proofErr w:type="spellStart"/>
            <w:r>
              <w:t>deksametazonem</w:t>
            </w:r>
            <w:proofErr w:type="spellEnd"/>
            <w:r>
              <w:t xml:space="preserve"> rekomendowana jest wg wytycznych Polskiej Grupy </w:t>
            </w:r>
            <w:proofErr w:type="spellStart"/>
            <w:r>
              <w:t>Szpiczakowej</w:t>
            </w:r>
            <w:proofErr w:type="spellEnd"/>
            <w:r>
              <w:rPr>
                <w:spacing w:val="-5"/>
              </w:rPr>
              <w:t xml:space="preserve"> </w:t>
            </w:r>
            <w:r>
              <w:t>(2021)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leczeniu</w:t>
            </w:r>
            <w:r>
              <w:rPr>
                <w:spacing w:val="-5"/>
              </w:rPr>
              <w:t xml:space="preserve"> </w:t>
            </w:r>
            <w:r>
              <w:t>chorych,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których</w:t>
            </w:r>
            <w:r>
              <w:rPr>
                <w:spacing w:val="-5"/>
              </w:rPr>
              <w:t xml:space="preserve"> </w:t>
            </w:r>
            <w:r>
              <w:t>rozpoznaje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 xml:space="preserve">wznowę lub progresję po co najmniej dwóch liniach leczenia. Zgodnie z badaniem rejestracyjnym ICARIA, porównującym terapię </w:t>
            </w:r>
            <w:proofErr w:type="spellStart"/>
            <w:r>
              <w:t>IsaPd</w:t>
            </w:r>
            <w:proofErr w:type="spellEnd"/>
            <w:r>
              <w:t xml:space="preserve"> z Pd, stosowanie </w:t>
            </w:r>
            <w:proofErr w:type="spellStart"/>
            <w:r>
              <w:t>izatuksymabu</w:t>
            </w:r>
            <w:proofErr w:type="spellEnd"/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skojarzeniu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Pd</w:t>
            </w:r>
            <w:r>
              <w:rPr>
                <w:spacing w:val="-1"/>
              </w:rPr>
              <w:t xml:space="preserve"> </w:t>
            </w:r>
            <w:r>
              <w:t>wiązało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wydłużeniem</w:t>
            </w:r>
            <w:r>
              <w:rPr>
                <w:spacing w:val="-1"/>
              </w:rPr>
              <w:t xml:space="preserve"> </w:t>
            </w:r>
            <w:r>
              <w:t>mediany</w:t>
            </w:r>
            <w:r>
              <w:rPr>
                <w:spacing w:val="-1"/>
              </w:rPr>
              <w:t xml:space="preserve"> </w:t>
            </w:r>
            <w:r>
              <w:t xml:space="preserve">PFS o </w:t>
            </w:r>
            <w:r w:rsidR="009342B0">
              <w:t>4,6</w:t>
            </w:r>
            <w:r>
              <w:t xml:space="preserve"> </w:t>
            </w:r>
            <w:proofErr w:type="spellStart"/>
            <w:r>
              <w:t>miesięc</w:t>
            </w:r>
            <w:r w:rsidR="009342B0">
              <w:t>a</w:t>
            </w:r>
            <w:proofErr w:type="spellEnd"/>
            <w:r>
              <w:t xml:space="preserve"> w porównaniu do terapii Pd - mediana przeżycie bez progresji choroby wyniosła odpowiednio 1</w:t>
            </w:r>
            <w:r w:rsidR="009342B0">
              <w:t>7</w:t>
            </w:r>
            <w:r>
              <w:t xml:space="preserve">,5 miesiąca i </w:t>
            </w:r>
            <w:r w:rsidR="003A5050">
              <w:t>12,9</w:t>
            </w:r>
            <w:r>
              <w:t xml:space="preserve"> miesiąca, dla terapii </w:t>
            </w:r>
            <w:proofErr w:type="spellStart"/>
            <w:r>
              <w:t>IsaPd</w:t>
            </w:r>
            <w:proofErr w:type="spellEnd"/>
            <w:r>
              <w:t xml:space="preserve"> i terapii Pd (HR 0,</w:t>
            </w:r>
            <w:r w:rsidR="003A5050">
              <w:t>76</w:t>
            </w:r>
            <w:r>
              <w:t>, 95%CI: 0,</w:t>
            </w:r>
            <w:r w:rsidR="003A5050">
              <w:t>58</w:t>
            </w:r>
            <w:r>
              <w:t>; 0,</w:t>
            </w:r>
            <w:r w:rsidR="003A5050">
              <w:t>99</w:t>
            </w:r>
            <w:r>
              <w:t xml:space="preserve">). Także wyniki </w:t>
            </w:r>
            <w:r w:rsidR="003A5050">
              <w:t xml:space="preserve">czasu </w:t>
            </w:r>
            <w:r>
              <w:t xml:space="preserve">przeżycia całkowitego OS u pacjentów leczonych schematem </w:t>
            </w:r>
            <w:proofErr w:type="spellStart"/>
            <w:r>
              <w:t>IsaPd</w:t>
            </w:r>
            <w:proofErr w:type="spellEnd"/>
            <w:r>
              <w:t xml:space="preserve"> wskazują na znaczące wydłużenie mediany o </w:t>
            </w:r>
            <w:r w:rsidR="009342B0">
              <w:t>6,9</w:t>
            </w:r>
            <w:r>
              <w:t xml:space="preserve"> miesiąca w porównaniu do chorych leczonych schematem Pd – czas przeżycia całkowitego wynosił odpowiednio </w:t>
            </w:r>
            <w:r w:rsidR="009342B0">
              <w:t xml:space="preserve">24,6 miesiąca i 17,7 miesiąca, dla terapii </w:t>
            </w:r>
            <w:proofErr w:type="spellStart"/>
            <w:r w:rsidR="009342B0">
              <w:t>IsaPd</w:t>
            </w:r>
            <w:proofErr w:type="spellEnd"/>
            <w:r w:rsidR="009342B0">
              <w:t xml:space="preserve"> i terapii Pd (HR 0,76, 95%Cl:0,57; 1,01) </w:t>
            </w:r>
            <w:r>
              <w:t xml:space="preserve">Wyniki były spójne także w analizowanych </w:t>
            </w:r>
            <w:r w:rsidR="003A5050">
              <w:t xml:space="preserve">w badaniu </w:t>
            </w:r>
            <w:r>
              <w:t xml:space="preserve">podgrupach pacjentów. Należy podkreślić, iż populację badaną stanowili pacjenci oporni na </w:t>
            </w:r>
            <w:proofErr w:type="spellStart"/>
            <w:r>
              <w:t>lenalidomid</w:t>
            </w:r>
            <w:proofErr w:type="spellEnd"/>
            <w:r>
              <w:t xml:space="preserve"> (ponad 90%) i inhibitor </w:t>
            </w:r>
            <w:proofErr w:type="spellStart"/>
            <w:r>
              <w:t>proteasomu</w:t>
            </w:r>
            <w:proofErr w:type="spellEnd"/>
            <w:r>
              <w:t xml:space="preserve"> (ponad 75%). Ponadto wyniki uzyskane w ramach oceny MRD(-) świadczą o uzyskaniu przez pacjentów leczonych </w:t>
            </w:r>
            <w:proofErr w:type="spellStart"/>
            <w:r>
              <w:t>izatuksymabem</w:t>
            </w:r>
            <w:proofErr w:type="spellEnd"/>
            <w:r>
              <w:t xml:space="preserve"> głębokiej remisji, będącej wskaźnikiem korzystnym rokowniczo oraz wskazują na długofalową skuteczność ocenianej terapii.</w:t>
            </w:r>
          </w:p>
          <w:p w14:paraId="07AF3877" w14:textId="77777777" w:rsidR="00F50630" w:rsidRDefault="00F50630" w:rsidP="00F50630">
            <w:pPr>
              <w:pStyle w:val="TableParagraph"/>
              <w:spacing w:line="278" w:lineRule="auto"/>
              <w:ind w:left="57" w:right="114"/>
            </w:pPr>
            <w:proofErr w:type="spellStart"/>
            <w:r>
              <w:t>Izatuksymab</w:t>
            </w:r>
            <w:proofErr w:type="spellEnd"/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skojarzeniu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PD</w:t>
            </w:r>
            <w:r>
              <w:rPr>
                <w:spacing w:val="-5"/>
              </w:rPr>
              <w:t xml:space="preserve"> </w:t>
            </w:r>
            <w:r>
              <w:t>jest</w:t>
            </w:r>
            <w:r>
              <w:rPr>
                <w:spacing w:val="-5"/>
              </w:rPr>
              <w:t xml:space="preserve"> </w:t>
            </w:r>
            <w:r>
              <w:t>terapią</w:t>
            </w:r>
            <w:r>
              <w:rPr>
                <w:spacing w:val="-5"/>
              </w:rPr>
              <w:t xml:space="preserve"> </w:t>
            </w:r>
            <w:r>
              <w:t>dobrze</w:t>
            </w:r>
            <w:r>
              <w:rPr>
                <w:spacing w:val="-5"/>
              </w:rPr>
              <w:t xml:space="preserve"> </w:t>
            </w:r>
            <w:r>
              <w:t>tolerowaną,</w:t>
            </w:r>
            <w:r>
              <w:rPr>
                <w:spacing w:val="-5"/>
              </w:rPr>
              <w:t xml:space="preserve"> </w:t>
            </w:r>
            <w:r>
              <w:t>o korzystnym profilu bezpieczeństwa.</w:t>
            </w:r>
          </w:p>
          <w:p w14:paraId="6815D4A4" w14:textId="77777777" w:rsidR="00F50630" w:rsidRDefault="00F50630" w:rsidP="00F50630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D216553" w14:textId="066C59C0" w:rsidR="00F50630" w:rsidRDefault="00F50630" w:rsidP="009342B0">
            <w:pPr>
              <w:pStyle w:val="TableParagraph"/>
              <w:spacing w:line="278" w:lineRule="auto"/>
              <w:ind w:left="57" w:right="114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Wprowadzenie</w:t>
            </w:r>
            <w:r w:rsidRPr="009342B0">
              <w:t xml:space="preserve"> </w:t>
            </w:r>
            <w:r>
              <w:t>do</w:t>
            </w:r>
            <w:r w:rsidRPr="009342B0">
              <w:t xml:space="preserve"> </w:t>
            </w:r>
            <w:r>
              <w:t>praktyki</w:t>
            </w:r>
            <w:r w:rsidRPr="009342B0">
              <w:t xml:space="preserve"> </w:t>
            </w:r>
            <w:r>
              <w:t>klinicznej</w:t>
            </w:r>
            <w:r w:rsidRPr="009342B0">
              <w:t xml:space="preserve"> </w:t>
            </w:r>
            <w:r w:rsidR="00B522D4">
              <w:t xml:space="preserve">terapii trójlekowej </w:t>
            </w:r>
            <w:proofErr w:type="spellStart"/>
            <w:r w:rsidR="00B522D4">
              <w:t>IsaPD</w:t>
            </w:r>
            <w:proofErr w:type="spellEnd"/>
            <w:r w:rsidRPr="009342B0">
              <w:t xml:space="preserve"> </w:t>
            </w:r>
            <w:r>
              <w:t>pozytywnie wpłynie</w:t>
            </w:r>
            <w:r w:rsidRPr="009342B0">
              <w:t xml:space="preserve"> </w:t>
            </w:r>
            <w:r>
              <w:t>na</w:t>
            </w:r>
            <w:r w:rsidRPr="009342B0">
              <w:t xml:space="preserve"> </w:t>
            </w:r>
            <w:r>
              <w:t>poprawę</w:t>
            </w:r>
            <w:r w:rsidRPr="009342B0">
              <w:t xml:space="preserve"> </w:t>
            </w:r>
            <w:r>
              <w:t>efektywności</w:t>
            </w:r>
            <w:r w:rsidRPr="009342B0">
              <w:t xml:space="preserve"> </w:t>
            </w:r>
            <w:r>
              <w:t>leczenia</w:t>
            </w:r>
            <w:r w:rsidRPr="009342B0">
              <w:t xml:space="preserve"> </w:t>
            </w:r>
            <w:r>
              <w:t>mocno</w:t>
            </w:r>
            <w:r w:rsidRPr="009342B0">
              <w:t xml:space="preserve"> </w:t>
            </w:r>
            <w:r>
              <w:t>przeleczonych</w:t>
            </w:r>
            <w:r w:rsidRPr="009342B0">
              <w:t xml:space="preserve"> </w:t>
            </w:r>
            <w:r>
              <w:t xml:space="preserve">pacjentów z opornym i nawrotowym szpiczakiem </w:t>
            </w:r>
            <w:proofErr w:type="spellStart"/>
            <w:r>
              <w:t>plazmocytowym</w:t>
            </w:r>
            <w:proofErr w:type="spellEnd"/>
            <w:r>
              <w:t>.</w:t>
            </w:r>
            <w:r w:rsidR="009342B0">
              <w:t xml:space="preserve"> </w:t>
            </w:r>
            <w:r w:rsidR="00B522D4">
              <w:t>Warto podkreślić skuteczność tego schematu w populacji chorych</w:t>
            </w:r>
            <w:r w:rsidR="009342B0">
              <w:t xml:space="preserve"> z upośledzoną funkcją nerek.</w:t>
            </w:r>
          </w:p>
        </w:tc>
      </w:tr>
      <w:tr w:rsidR="00F50630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F50630" w:rsidRDefault="00F50630" w:rsidP="00F5063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F50630" w:rsidRDefault="00F50630" w:rsidP="00F5063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50630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F50630" w:rsidRDefault="00F50630" w:rsidP="00F5063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 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C2BB3F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687CD9F5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proofErr w:type="spellStart"/>
      <w:r w:rsidRPr="00995AA8">
        <w:rPr>
          <w:rFonts w:ascii="Arial" w:hAnsi="Arial" w:cs="Arial"/>
          <w:sz w:val="16"/>
          <w:szCs w:val="16"/>
        </w:rPr>
        <w:t>późn</w:t>
      </w:r>
      <w:proofErr w:type="spellEnd"/>
      <w:r w:rsidRPr="00995AA8">
        <w:rPr>
          <w:rFonts w:ascii="Arial" w:hAnsi="Arial" w:cs="Arial"/>
          <w:sz w:val="16"/>
          <w:szCs w:val="16"/>
        </w:rPr>
        <w:t>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441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A5050"/>
    <w:rsid w:val="003E490D"/>
    <w:rsid w:val="00466B3D"/>
    <w:rsid w:val="004727E8"/>
    <w:rsid w:val="004968E2"/>
    <w:rsid w:val="004A45CF"/>
    <w:rsid w:val="004D4584"/>
    <w:rsid w:val="00500398"/>
    <w:rsid w:val="00534919"/>
    <w:rsid w:val="005E0437"/>
    <w:rsid w:val="00631DA4"/>
    <w:rsid w:val="006655D6"/>
    <w:rsid w:val="006C2544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342B0"/>
    <w:rsid w:val="009556C6"/>
    <w:rsid w:val="00975736"/>
    <w:rsid w:val="00995AA8"/>
    <w:rsid w:val="009A1A89"/>
    <w:rsid w:val="009A6875"/>
    <w:rsid w:val="009B2AB4"/>
    <w:rsid w:val="00A302E6"/>
    <w:rsid w:val="00AC2A25"/>
    <w:rsid w:val="00AD7BF5"/>
    <w:rsid w:val="00B476FB"/>
    <w:rsid w:val="00B507BB"/>
    <w:rsid w:val="00B522D4"/>
    <w:rsid w:val="00B85D35"/>
    <w:rsid w:val="00BC5853"/>
    <w:rsid w:val="00C07EA1"/>
    <w:rsid w:val="00C23C3A"/>
    <w:rsid w:val="00C37A25"/>
    <w:rsid w:val="00C6570F"/>
    <w:rsid w:val="00C70D09"/>
    <w:rsid w:val="00C80E33"/>
    <w:rsid w:val="00C85811"/>
    <w:rsid w:val="00D82A2C"/>
    <w:rsid w:val="00DA749F"/>
    <w:rsid w:val="00DB79ED"/>
    <w:rsid w:val="00E134C5"/>
    <w:rsid w:val="00E55C67"/>
    <w:rsid w:val="00F00821"/>
    <w:rsid w:val="00F42438"/>
    <w:rsid w:val="00F50630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F506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Tomasz Wróbel</cp:lastModifiedBy>
  <cp:revision>2</cp:revision>
  <dcterms:created xsi:type="dcterms:W3CDTF">2022-12-16T11:52:00Z</dcterms:created>
  <dcterms:modified xsi:type="dcterms:W3CDTF">2022-12-16T11:52:00Z</dcterms:modified>
</cp:coreProperties>
</file>