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E94F31">
      <w:pPr>
        <w:suppressAutoHyphens/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7C00A4F" w:rsidR="000B57EF" w:rsidRPr="0068177F" w:rsidRDefault="006C7F8D" w:rsidP="00AC62A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6C7F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OT.423.1.</w:t>
            </w:r>
            <w:r w:rsidR="00D878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6C7F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bookmarkStart w:id="0" w:name="_Hlk119596656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CBD8CB1" w:rsidR="000B57EF" w:rsidRPr="00D82A2C" w:rsidRDefault="00C9083F" w:rsidP="00314295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1" w:name="_Hlk135917316"/>
            <w:r w:rsidRPr="00C908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Opdivo (niwolumab) w leczeniu uzupełniającym raka urotelialnego u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C908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dorosłych z ekspresją PD-L1 na komórkach guza ≥ 1% z wysokim ryzykiem nawrotu po radykalnej cystektomii z cechą R0</w:t>
            </w:r>
            <w:bookmarkEnd w:id="1"/>
          </w:p>
        </w:tc>
      </w:tr>
    </w:tbl>
    <w:bookmarkEnd w:id="0"/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B90A8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a 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7BFCADEA" w14:textId="5F22F9C3" w:rsidR="00632E4F" w:rsidRDefault="00632E4F" w:rsidP="00632E4F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 przypadku zamiaru przesłania  uwag wraz z Deklaracją Konfliktu Interesów przesyłką kurierską albo pocztową na adres siedziby Agencji,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E94F3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dodatkowe przekazanie skanu (lub zdjęcia) podpisanego dokumentu za pośrednictwem </w:t>
      </w:r>
      <w:proofErr w:type="spellStart"/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poczty elektronicznej: </w:t>
      </w:r>
      <w:hyperlink r:id="rId9" w:history="1">
        <w:r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. </w:t>
      </w:r>
    </w:p>
    <w:p w14:paraId="22C2D381" w14:textId="77777777" w:rsidR="00632E4F" w:rsidRDefault="00632E4F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14:paraId="2B7E8FA4" w14:textId="7B12FEB8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DF9742" w14:textId="4E8509D2" w:rsidR="005E0437" w:rsidRDefault="005E0437" w:rsidP="00E35889">
      <w:pPr>
        <w:numPr>
          <w:ilvl w:val="0"/>
          <w:numId w:val="1"/>
        </w:num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0D69208" w14:textId="77777777" w:rsidR="00E35889" w:rsidRPr="00E35889" w:rsidRDefault="00E35889" w:rsidP="00E35889">
      <w:p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BC8CCC" w14:textId="77777777" w:rsidR="00D330DD" w:rsidRDefault="00D330DD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A4FDCF9" w14:textId="77777777" w:rsidR="00104D9C" w:rsidRDefault="005E0437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A8BB9E5" w14:textId="77777777" w:rsidR="00104D9C" w:rsidRDefault="00104D9C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BAB18B" w14:textId="34DCED63" w:rsidR="005E0437" w:rsidRDefault="005E0437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……………………………………………………………………….................................................................</w:t>
      </w:r>
    </w:p>
    <w:p w14:paraId="7B7E4B56" w14:textId="77777777" w:rsidR="00D330DD" w:rsidRDefault="00D330DD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C39F0EB" w14:textId="7600104D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71806C24" w14:textId="24FCE8ED" w:rsidR="006C7F8D" w:rsidRDefault="00D878E0" w:rsidP="00314295">
      <w:pPr>
        <w:tabs>
          <w:tab w:val="num" w:pos="491"/>
        </w:tabs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D878E0">
        <w:rPr>
          <w:rStyle w:val="NAGZnak"/>
          <w:b w:val="0"/>
          <w:kern w:val="32"/>
          <w:sz w:val="20"/>
          <w:szCs w:val="20"/>
        </w:rPr>
        <w:t>Opdivo (niwolumab) w leczeniu uzupełniającym raka urotelialnego u dorosłych z ekspresją PD-L1 na</w:t>
      </w:r>
      <w:r>
        <w:rPr>
          <w:rStyle w:val="NAGZnak"/>
          <w:b w:val="0"/>
          <w:kern w:val="32"/>
          <w:sz w:val="20"/>
          <w:szCs w:val="20"/>
        </w:rPr>
        <w:t> </w:t>
      </w:r>
      <w:r w:rsidRPr="00D878E0">
        <w:rPr>
          <w:rStyle w:val="NAGZnak"/>
          <w:b w:val="0"/>
          <w:kern w:val="32"/>
          <w:sz w:val="20"/>
          <w:szCs w:val="20"/>
        </w:rPr>
        <w:t>komórkach guza ≥ 1% z wysokim ryzykiem nawrotu po radykalnej cystektomii z cechą R0</w:t>
      </w:r>
    </w:p>
    <w:p w14:paraId="70D7E2AB" w14:textId="350EFB58" w:rsidR="005E0437" w:rsidRDefault="005E0437" w:rsidP="001E739D">
      <w:pPr>
        <w:pageBreakBefore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56"/>
        <w:gridCol w:w="8394"/>
      </w:tblGrid>
      <w:tr w:rsidR="005E0437" w14:paraId="64A8B6E3" w14:textId="77777777" w:rsidTr="00E35889">
        <w:trPr>
          <w:trHeight w:hRule="exact" w:val="828"/>
        </w:trPr>
        <w:tc>
          <w:tcPr>
            <w:tcW w:w="122" w:type="pct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01DC8793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E35889">
        <w:trPr>
          <w:trHeight w:hRule="exact" w:val="401"/>
        </w:trPr>
        <w:tc>
          <w:tcPr>
            <w:tcW w:w="122" w:type="pct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3206D863" w14:textId="0376B782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Złożenie uwag do upublicznionej analizy weryfikacyjnej </w:t>
            </w:r>
          </w:p>
        </w:tc>
      </w:tr>
      <w:tr w:rsidR="005E0437" w14:paraId="22DD5267" w14:textId="77777777" w:rsidTr="00E35889">
        <w:trPr>
          <w:trHeight w:hRule="exact" w:val="572"/>
        </w:trPr>
        <w:tc>
          <w:tcPr>
            <w:tcW w:w="122" w:type="pct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  <w:hideMark/>
          </w:tcPr>
          <w:p w14:paraId="1927B1D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0AEAE6D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wytwarzania lub obrotu lekiem, środkiem spożywczym specjalnego przeznaczenia żywieniowego, wyrobem medycznym lub działalność gospodarczą w 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3505B8DB" w14:textId="2AAA8B95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D330DD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626BF33" w14:textId="77777777" w:rsidR="00D330DD" w:rsidRDefault="00D330DD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CA10A19" w14:textId="221CCE65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94789EB" w14:textId="5781DE71" w:rsidR="00E35889" w:rsidRDefault="000B57EF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2C3F89DE" w14:textId="77777777" w:rsidR="00D330DD" w:rsidRPr="00E35889" w:rsidRDefault="00D330DD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E7B54F" w14:textId="50279B4B" w:rsidR="000B57EF" w:rsidRPr="00242283" w:rsidRDefault="000B57EF" w:rsidP="00E35889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240"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</w:t>
      </w:r>
      <w:r w:rsidR="00E94F31">
        <w:rPr>
          <w:rFonts w:ascii="Arial" w:eastAsia="Times New Roman" w:hAnsi="Arial" w:cs="Arial"/>
          <w:b/>
          <w:lang w:eastAsia="pl-PL"/>
        </w:rPr>
        <w:t xml:space="preserve"> </w:t>
      </w:r>
      <w:r w:rsidRPr="00242283">
        <w:rPr>
          <w:rFonts w:ascii="Arial" w:eastAsia="Times New Roman" w:hAnsi="Arial" w:cs="Arial"/>
          <w:b/>
          <w:lang w:eastAsia="pl-PL"/>
        </w:rPr>
        <w:t>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1222BD7" w14:textId="77777777" w:rsidR="005E0437" w:rsidRDefault="005E0437" w:rsidP="00E94F31">
      <w:pPr>
        <w:pageBreakBefore/>
        <w:numPr>
          <w:ilvl w:val="0"/>
          <w:numId w:val="1"/>
        </w:numPr>
        <w:suppressAutoHyphens/>
        <w:spacing w:after="12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D330DD">
      <w:pPr>
        <w:keepNext/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278E" w14:textId="77777777" w:rsidR="00A058D3" w:rsidRDefault="00A058D3" w:rsidP="005E0437">
      <w:pPr>
        <w:spacing w:after="0" w:line="240" w:lineRule="auto"/>
      </w:pPr>
      <w:r>
        <w:separator/>
      </w:r>
    </w:p>
  </w:endnote>
  <w:endnote w:type="continuationSeparator" w:id="0">
    <w:p w14:paraId="74D32F17" w14:textId="77777777" w:rsidR="00A058D3" w:rsidRDefault="00A058D3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7F2C" w14:textId="77777777" w:rsidR="00A058D3" w:rsidRDefault="00A058D3" w:rsidP="005E0437">
      <w:pPr>
        <w:spacing w:after="0" w:line="240" w:lineRule="auto"/>
      </w:pPr>
      <w:r>
        <w:separator/>
      </w:r>
    </w:p>
  </w:footnote>
  <w:footnote w:type="continuationSeparator" w:id="0">
    <w:p w14:paraId="12CA43F6" w14:textId="77777777" w:rsidR="00A058D3" w:rsidRDefault="00A058D3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57B760B" w:rsidR="005E0437" w:rsidRDefault="005E0437" w:rsidP="002A52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2A52D6">
        <w:t> </w:t>
      </w:r>
      <w:r>
        <w:t>refundacji leków, środków spożywczych specjalnego przeznaczenia żywieniowego oraz wyrobów medycznych (Dz.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27041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766DA"/>
    <w:rsid w:val="000B57EF"/>
    <w:rsid w:val="000D2806"/>
    <w:rsid w:val="00103F5F"/>
    <w:rsid w:val="00104D9C"/>
    <w:rsid w:val="00152F5D"/>
    <w:rsid w:val="00174887"/>
    <w:rsid w:val="001D21EA"/>
    <w:rsid w:val="001E7142"/>
    <w:rsid w:val="001E739D"/>
    <w:rsid w:val="002209E7"/>
    <w:rsid w:val="00283E5F"/>
    <w:rsid w:val="002A1392"/>
    <w:rsid w:val="002A33D2"/>
    <w:rsid w:val="002A52D6"/>
    <w:rsid w:val="002C28D9"/>
    <w:rsid w:val="003052E6"/>
    <w:rsid w:val="00312C23"/>
    <w:rsid w:val="00314295"/>
    <w:rsid w:val="003E490D"/>
    <w:rsid w:val="004276D2"/>
    <w:rsid w:val="004727E8"/>
    <w:rsid w:val="004968E2"/>
    <w:rsid w:val="004A45CF"/>
    <w:rsid w:val="004B6E50"/>
    <w:rsid w:val="004D4584"/>
    <w:rsid w:val="00534919"/>
    <w:rsid w:val="005E0437"/>
    <w:rsid w:val="00632E4F"/>
    <w:rsid w:val="00647DE4"/>
    <w:rsid w:val="006655D6"/>
    <w:rsid w:val="006A0DAB"/>
    <w:rsid w:val="006C7F8D"/>
    <w:rsid w:val="006C7F97"/>
    <w:rsid w:val="006F4BCF"/>
    <w:rsid w:val="00760DC8"/>
    <w:rsid w:val="007823FD"/>
    <w:rsid w:val="007C5D20"/>
    <w:rsid w:val="007D6E92"/>
    <w:rsid w:val="00844B94"/>
    <w:rsid w:val="00886392"/>
    <w:rsid w:val="008A5DF2"/>
    <w:rsid w:val="008B3D9B"/>
    <w:rsid w:val="008B57D8"/>
    <w:rsid w:val="009556C6"/>
    <w:rsid w:val="009728B8"/>
    <w:rsid w:val="00975736"/>
    <w:rsid w:val="009A561A"/>
    <w:rsid w:val="009A6875"/>
    <w:rsid w:val="009D393A"/>
    <w:rsid w:val="00A058D3"/>
    <w:rsid w:val="00A302E6"/>
    <w:rsid w:val="00A95E9D"/>
    <w:rsid w:val="00AA66BF"/>
    <w:rsid w:val="00AC13A3"/>
    <w:rsid w:val="00AC2A25"/>
    <w:rsid w:val="00AC62A1"/>
    <w:rsid w:val="00B210BB"/>
    <w:rsid w:val="00B30CB1"/>
    <w:rsid w:val="00B476FB"/>
    <w:rsid w:val="00B85D35"/>
    <w:rsid w:val="00B90A84"/>
    <w:rsid w:val="00B9234B"/>
    <w:rsid w:val="00C07EA1"/>
    <w:rsid w:val="00C17F54"/>
    <w:rsid w:val="00C70D09"/>
    <w:rsid w:val="00C85811"/>
    <w:rsid w:val="00C9083F"/>
    <w:rsid w:val="00CA6531"/>
    <w:rsid w:val="00D330DD"/>
    <w:rsid w:val="00D82A2C"/>
    <w:rsid w:val="00D878E0"/>
    <w:rsid w:val="00E134C5"/>
    <w:rsid w:val="00E20D2D"/>
    <w:rsid w:val="00E23E3E"/>
    <w:rsid w:val="00E35889"/>
    <w:rsid w:val="00E66107"/>
    <w:rsid w:val="00E8593A"/>
    <w:rsid w:val="00E94F31"/>
    <w:rsid w:val="00EF12DE"/>
    <w:rsid w:val="00F42438"/>
    <w:rsid w:val="00FB7821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Kazimierz Skroński</cp:lastModifiedBy>
  <cp:revision>31</cp:revision>
  <dcterms:created xsi:type="dcterms:W3CDTF">2022-01-19T16:01:00Z</dcterms:created>
  <dcterms:modified xsi:type="dcterms:W3CDTF">2023-05-25T12:28:00Z</dcterms:modified>
</cp:coreProperties>
</file>