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288AC53" w:rsidR="000B57EF" w:rsidRPr="0068177F" w:rsidRDefault="00950D7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50D71">
              <w:rPr>
                <w:rFonts w:ascii="Arial" w:eastAsia="Times New Roman" w:hAnsi="Arial" w:cs="Arial"/>
                <w:lang w:eastAsia="ar-SA"/>
              </w:rPr>
              <w:t>OT.423.1.37.2023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FF69517" w:rsidR="000B57EF" w:rsidRPr="004577C3" w:rsidRDefault="00950D71" w:rsidP="00227EA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50D71">
              <w:rPr>
                <w:rFonts w:ascii="Arial" w:eastAsia="Times New Roman" w:hAnsi="Arial" w:cs="Arial"/>
                <w:lang w:eastAsia="ar-SA"/>
              </w:rPr>
              <w:t>Calquence (akalabrutynib) w ramach programu lekowego „Leczenie chorych na przewlekłą białaczkę limfocytową (ICD-10 C91.1)”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77"/>
        <w:gridCol w:w="457"/>
        <w:gridCol w:w="10574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7A7238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CB3690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3206D863" w14:textId="63495859" w:rsidR="00C80E33" w:rsidRDefault="00C80E33" w:rsidP="00227EA2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354D66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319F7F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917E82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7067C2F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D69529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38B82B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5FDB94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5280FA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19D1"/>
    <w:rsid w:val="00136A97"/>
    <w:rsid w:val="00152F5D"/>
    <w:rsid w:val="00161868"/>
    <w:rsid w:val="001B7FA4"/>
    <w:rsid w:val="001D21EA"/>
    <w:rsid w:val="002209E7"/>
    <w:rsid w:val="00227EA2"/>
    <w:rsid w:val="002A33D2"/>
    <w:rsid w:val="003052E6"/>
    <w:rsid w:val="00312C23"/>
    <w:rsid w:val="00325666"/>
    <w:rsid w:val="003A0EA2"/>
    <w:rsid w:val="003E490D"/>
    <w:rsid w:val="003F71DD"/>
    <w:rsid w:val="0044101B"/>
    <w:rsid w:val="004577C3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0D71"/>
    <w:rsid w:val="009556C6"/>
    <w:rsid w:val="00975736"/>
    <w:rsid w:val="00995AA8"/>
    <w:rsid w:val="009A4E99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92E0E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Karol Domański</cp:lastModifiedBy>
  <cp:revision>14</cp:revision>
  <dcterms:created xsi:type="dcterms:W3CDTF">2022-07-22T07:36:00Z</dcterms:created>
  <dcterms:modified xsi:type="dcterms:W3CDTF">2023-10-19T16:34:00Z</dcterms:modified>
</cp:coreProperties>
</file>